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Zgodnie z art. 13 ust. 1 Ogólnego Rozporządzenia o Ochronie Danych (RODO) informujemy, że: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Administratorem danych osobowych Pacjentów jest Miejskie Centrum Medyczne „Polesie”</w:t>
      </w:r>
      <w:r>
        <w:rPr>
          <w:rFonts w:cs="Arial" w:ascii="Arial" w:hAnsi="Arial"/>
          <w:i/>
          <w:iCs/>
          <w:sz w:val="18"/>
          <w:szCs w:val="18"/>
        </w:rPr>
        <w:t>,                             adres: ul. A. Struga 86, 90-557 Łódź;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i/>
          <w:iCs/>
          <w:sz w:val="18"/>
          <w:szCs w:val="18"/>
        </w:rPr>
        <w:t xml:space="preserve">administrator wyznaczył Inspektora Ochrony Danych, z którym mogę się kontaktować w sprawach przetwarzania moich danych osobowych za pośrednictwem poczty elektronicznej: </w:t>
      </w:r>
      <w:hyperlink r:id="rId2">
        <w:r>
          <w:rPr>
            <w:rStyle w:val="Czeinternetowe"/>
            <w:rFonts w:cs="Arial" w:ascii="Arial" w:hAnsi="Arial"/>
            <w:i/>
            <w:iCs/>
            <w:sz w:val="18"/>
            <w:szCs w:val="18"/>
          </w:rPr>
          <w:t>iod@mcmpolesie.pl</w:t>
        </w:r>
      </w:hyperlink>
      <w:r>
        <w:rPr>
          <w:rStyle w:val="Headercontactemail"/>
          <w:rFonts w:cs="Arial" w:ascii="Arial" w:hAnsi="Arial"/>
          <w:i/>
          <w:iCs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Administrator będzie przetwarzał dane osobowe Pacjentów w celu wypełnienia obowiązku prawnego ciążącego na Administratorze oraz w celu zapewnienia opieki zdrowotnej.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  <w:t>Dokładna podstawa prawna: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4" w:hanging="284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dane niezbędne do ustalenia tożsamości Pacjenta przed udzieleniem świadczenia, </w:t>
        <w:br/>
        <w:t>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4" w:hanging="284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dane zawarte w dokumentacji medycznej Pacjenta - Administrator przetwarza na podstawie art. 9 ust. 2 lit. h) RODO w zw. z art. 24 ust. 1 ustawy z dnia 6 listopada 2008 r. o prawach pacjenta i Rzeczniku Praw Pacjenta,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4" w:hanging="284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dane zebrane celem realizacji praw Pacjenta zawarte np. w odbieranych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dane osobowe mogą być udostępnione innym uprawnionym podmiotom, na podstawie przepisów prawa, a także: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4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innym podmiot leczniczym oraz laboratorium zewnętrznym, współpracującym </w:t>
        <w:br/>
        <w:t>z Administratorem w celu zapewnienia ciągłości leczenia oraz dostępności opieki zdrowotnej,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4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podmiotom, z którymi Administrator zawarł umowę w związku z realizacją usług zaopatrujących Administratora w rozwiązania techniczne oraz organizacyjne, umożliwiające udzielanie świadczeń zdrowotnych oraz zarządzanie organizacją Administratora, </w:t>
        <w:br/>
        <w:t>w szczególności dostawcom usług teleinformatycznych, dostawcom sprzętu diagnostycznego oraz firmom kurierskim i pocztowym,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4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dostawcom usług prawnych i doradczych oraz wspierających Administratora w dochodzeniu należnych roszczeń, w szczególności kancelariom prawnym oraz zewnętrznym audytorom.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Administrator nie zamierza przekazywać Państwa/ Państwa dziecka danych osobowych do państwa trzeciego lub organizacji międzynarodowej.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Mają Państwo prawo uzyskać kopię swoich/ Państwa dziecka danych osobowych w siedzibie Administratora.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  <w:t>Dodatkowo zgodnie z art. 13 ust. 2 RODO informujemy, że: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Dane osobowe Pacjentów zawarte w dokumentacji medycznej będą przechowywane zgodnie z art. 29 ustawy z dnia 6 listopada 2008 r. o prawach pacjenta i Rzeczniku Praw Pacjenta, </w:t>
        <w:br/>
        <w:t xml:space="preserve">tj. przez okres 20 lat od dnia dokonania w niej ostatniego wpisu z wyjątkami przewidzianymi </w:t>
        <w:br/>
        <w:t>w ww. ustawie.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tj. Prezesa Urzędu Ochrony Danych Osobowych.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Podanie danych osobowych jest wymogiem ustawowym. Administrator jako podmiot leczniczy jest zobowiązany do prowadzenia dokumentacji medycznej w sposób określony przepisami prawa, w tym do oznaczenia tożsamości Pacjenta z wykorzystaniem jego danych osobowych. Niepodanie danych może skutkować odmową rezerwacji wizyty, czy odmową udzielenia świadczeń z zakresu opieki zdrowotnej.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cs="Arial" w:ascii="Arial" w:hAnsi="Arial"/>
          <w:i/>
          <w:sz w:val="18"/>
          <w:szCs w:val="18"/>
        </w:rPr>
        <w:t>Administrator nie podejmuje decyzji w sposób zautomatyzowany w oparciu o Państwa/ Państwa dziecka dane osobowe.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0"/>
      </w:pPr>
    </w:lvl>
    <w:lvl w:ilvl="1">
      <w:start w:val="1"/>
      <w:numFmt w:val="lowerLetter"/>
      <w:lvlText w:val="%2."/>
      <w:lvlJc w:val="left"/>
      <w:pPr>
        <w:ind w:left="2160" w:hanging="0"/>
      </w:pPr>
    </w:lvl>
    <w:lvl w:ilvl="2">
      <w:start w:val="1"/>
      <w:numFmt w:val="lowerRoman"/>
      <w:lvlText w:val="%3."/>
      <w:lvlJc w:val="right"/>
      <w:pPr>
        <w:ind w:left="2880" w:hanging="0"/>
      </w:pPr>
    </w:lvl>
    <w:lvl w:ilvl="3">
      <w:start w:val="1"/>
      <w:numFmt w:val="decimal"/>
      <w:lvlText w:val="%4."/>
      <w:lvlJc w:val="left"/>
      <w:pPr>
        <w:ind w:left="3600" w:hanging="0"/>
      </w:pPr>
    </w:lvl>
    <w:lvl w:ilvl="4">
      <w:start w:val="1"/>
      <w:numFmt w:val="lowerLetter"/>
      <w:lvlText w:val="%5."/>
      <w:lvlJc w:val="left"/>
      <w:pPr>
        <w:ind w:left="4320" w:hanging="0"/>
      </w:pPr>
    </w:lvl>
    <w:lvl w:ilvl="5">
      <w:start w:val="1"/>
      <w:numFmt w:val="lowerRoman"/>
      <w:lvlText w:val="%6."/>
      <w:lvlJc w:val="right"/>
      <w:pPr>
        <w:ind w:left="5040" w:hanging="0"/>
      </w:pPr>
    </w:lvl>
    <w:lvl w:ilvl="6">
      <w:start w:val="1"/>
      <w:numFmt w:val="decimal"/>
      <w:lvlText w:val="%7."/>
      <w:lvlJc w:val="left"/>
      <w:pPr>
        <w:ind w:left="5760" w:hanging="0"/>
      </w:pPr>
    </w:lvl>
    <w:lvl w:ilvl="7">
      <w:start w:val="1"/>
      <w:numFmt w:val="lowerLetter"/>
      <w:lvlText w:val="%8."/>
      <w:lvlJc w:val="left"/>
      <w:pPr>
        <w:ind w:left="6480" w:hanging="0"/>
      </w:pPr>
    </w:lvl>
    <w:lvl w:ilvl="8">
      <w:start w:val="1"/>
      <w:numFmt w:val="lowerRoman"/>
      <w:lvlText w:val="%9."/>
      <w:lvlJc w:val="right"/>
      <w:pPr>
        <w:ind w:left="720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0"/>
      </w:pPr>
    </w:lvl>
    <w:lvl w:ilvl="1">
      <w:start w:val="1"/>
      <w:numFmt w:val="lowerLetter"/>
      <w:lvlText w:val="%2."/>
      <w:lvlJc w:val="left"/>
      <w:pPr>
        <w:ind w:left="2160" w:hanging="0"/>
      </w:pPr>
    </w:lvl>
    <w:lvl w:ilvl="2">
      <w:start w:val="1"/>
      <w:numFmt w:val="lowerRoman"/>
      <w:lvlText w:val="%3."/>
      <w:lvlJc w:val="right"/>
      <w:pPr>
        <w:ind w:left="2880" w:hanging="0"/>
      </w:pPr>
    </w:lvl>
    <w:lvl w:ilvl="3">
      <w:start w:val="1"/>
      <w:numFmt w:val="decimal"/>
      <w:lvlText w:val="%4."/>
      <w:lvlJc w:val="left"/>
      <w:pPr>
        <w:ind w:left="3600" w:hanging="0"/>
      </w:pPr>
    </w:lvl>
    <w:lvl w:ilvl="4">
      <w:start w:val="1"/>
      <w:numFmt w:val="lowerLetter"/>
      <w:lvlText w:val="%5."/>
      <w:lvlJc w:val="left"/>
      <w:pPr>
        <w:ind w:left="4320" w:hanging="0"/>
      </w:pPr>
    </w:lvl>
    <w:lvl w:ilvl="5">
      <w:start w:val="1"/>
      <w:numFmt w:val="lowerRoman"/>
      <w:lvlText w:val="%6."/>
      <w:lvlJc w:val="right"/>
      <w:pPr>
        <w:ind w:left="5040" w:hanging="0"/>
      </w:pPr>
    </w:lvl>
    <w:lvl w:ilvl="6">
      <w:start w:val="1"/>
      <w:numFmt w:val="decimal"/>
      <w:lvlText w:val="%7."/>
      <w:lvlJc w:val="left"/>
      <w:pPr>
        <w:ind w:left="5760" w:hanging="0"/>
      </w:pPr>
    </w:lvl>
    <w:lvl w:ilvl="7">
      <w:start w:val="1"/>
      <w:numFmt w:val="lowerLetter"/>
      <w:lvlText w:val="%8."/>
      <w:lvlJc w:val="left"/>
      <w:pPr>
        <w:ind w:left="6480" w:hanging="0"/>
      </w:pPr>
    </w:lvl>
    <w:lvl w:ilvl="8">
      <w:start w:val="1"/>
      <w:numFmt w:val="lowerRoman"/>
      <w:lvlText w:val="%9."/>
      <w:lvlJc w:val="right"/>
      <w:pPr>
        <w:ind w:left="720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03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303a0"/>
    <w:rPr>
      <w:color w:val="0563C1" w:themeColor="hyperlink"/>
      <w:u w:val="single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e303a0"/>
    <w:rPr/>
  </w:style>
  <w:style w:type="character" w:styleId="Headercontactemail" w:customStyle="1">
    <w:name w:val="header-contact-email"/>
    <w:basedOn w:val="DefaultParagraphFont"/>
    <w:qFormat/>
    <w:rsid w:val="00e303a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e303a0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cmpoles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2</Pages>
  <Words>549</Words>
  <Characters>3408</Characters>
  <CharactersWithSpaces>3956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2019-07-30T12:55:00Z</dcterms:created>
  <dc:creator>Katarzyna Kaczmarek</dc:creator>
  <dc:description/>
  <dc:language>pl-PL</dc:language>
  <cp:lastModifiedBy>Katarzyna Kaczmarek</cp:lastModifiedBy>
  <dcterms:modified xsi:type="dcterms:W3CDTF">2019-07-30T12:55:00Z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