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31"/>
        <w:ind w:left="-5" w:hanging="10"/>
        <w:rPr/>
      </w:pPr>
      <w:r>
        <w:rPr/>
      </w:r>
    </w:p>
    <w:p>
      <w:pPr>
        <w:pStyle w:val="Normal"/>
        <w:jc w:val="left"/>
        <w:rPr/>
      </w:pPr>
      <w:r>
        <w:rPr>
          <w:rFonts w:eastAsia="Arial" w:cs="Arial" w:ascii="Arial" w:hAnsi="Arial"/>
          <w:sz w:val="22"/>
          <w:szCs w:val="22"/>
        </w:rPr>
        <w:t xml:space="preserve">Nr postępowania: 1/Z/2023                                                                    </w:t>
      </w:r>
      <w:r>
        <w:rPr>
          <w:rFonts w:eastAsia="Arial" w:cs="Arial" w:ascii="Arial" w:hAnsi="Arial"/>
          <w:sz w:val="22"/>
          <w:szCs w:val="22"/>
        </w:rPr>
        <w:t>Łódź, dnia 06.07.2023</w:t>
      </w:r>
    </w:p>
    <w:p>
      <w:pPr>
        <w:pStyle w:val="Normal"/>
        <w:jc w:val="left"/>
        <w:rPr/>
      </w:pPr>
      <w:r>
        <w:rPr/>
      </w:r>
    </w:p>
    <w:p>
      <w:pPr>
        <w:pStyle w:val="Nagwek1"/>
        <w:jc w:val="center"/>
        <w:rPr/>
      </w:pPr>
      <w:r>
        <w:rPr/>
        <w:t>Zawiadomienie o unieważnieniu postępowania</w:t>
      </w:r>
    </w:p>
    <w:p>
      <w:pPr>
        <w:pStyle w:val="Normal"/>
        <w:spacing w:before="0" w:after="289"/>
        <w:ind w:left="-5" w:hanging="10"/>
        <w:rPr/>
      </w:pPr>
      <w:r>
        <w:rPr/>
        <w:t>Zamawiający – Miejskie Centrum Medyczne Polesie w Łodzi-</w:t>
      </w:r>
      <w:r>
        <w:rPr/>
        <w:t>działając zgodnie z art. 260 ust. 1 i 2 ustawy z dnia 11 września 2019 r - Prawo zamówień publicznych (Dz. U. z 2021 r., poz. 1129 z późn. zm.)</w:t>
      </w:r>
      <w:r>
        <w:rPr>
          <w:i/>
        </w:rPr>
        <w:t xml:space="preserve"> </w:t>
      </w:r>
      <w:r>
        <w:rPr/>
        <w:t xml:space="preserve">zwaną dalej ustawą Pzp, zawiadamia o unieważnieniu postępowania o udzielenie zamówienia prowadzonego w trybie podstawowym pn. </w:t>
      </w:r>
      <w:r>
        <w:rPr>
          <w:rFonts w:eastAsia="Arial" w:cs="Arial" w:ascii="Arial" w:hAnsi="Arial"/>
          <w:b/>
          <w:sz w:val="24"/>
          <w:szCs w:val="24"/>
        </w:rPr>
        <w:t xml:space="preserve"> „</w:t>
      </w:r>
      <w:r>
        <w:rPr>
          <w:rFonts w:cs="Arial" w:ascii="Arial" w:hAnsi="Arial"/>
          <w:b/>
          <w:sz w:val="24"/>
          <w:szCs w:val="24"/>
        </w:rPr>
        <w:t>Przystosowanie Przychodni Maratońska dla potrzeb osób niepełnosprawnych</w:t>
      </w:r>
      <w:r>
        <w:rPr>
          <w:rFonts w:eastAsia="Arial" w:cs="Arial" w:ascii="Arial" w:hAnsi="Arial"/>
          <w:b/>
          <w:bCs/>
          <w:sz w:val="24"/>
          <w:szCs w:val="24"/>
        </w:rPr>
        <w:t>”</w:t>
      </w:r>
    </w:p>
    <w:p>
      <w:pPr>
        <w:pStyle w:val="Normal"/>
        <w:spacing w:lineRule="auto" w:line="259" w:before="0" w:after="75"/>
        <w:ind w:left="10" w:right="73" w:hanging="10"/>
        <w:jc w:val="center"/>
        <w:rPr/>
      </w:pPr>
      <w:r>
        <w:rPr>
          <w:b/>
        </w:rPr>
        <w:t>Uzasadnienie prawne:</w:t>
      </w:r>
    </w:p>
    <w:p>
      <w:pPr>
        <w:pStyle w:val="Normal"/>
        <w:spacing w:before="0" w:after="289"/>
        <w:ind w:left="-5" w:hanging="10"/>
        <w:rPr/>
      </w:pPr>
      <w:r>
        <w:rPr>
          <w:b/>
        </w:rPr>
        <w:t>Art. 255 pkt 3 ustawy Pzp</w:t>
      </w:r>
      <w:r>
        <w:rPr/>
        <w:t xml:space="preserve"> - cena lub koszt najkorzystniejszej oferty lub oferta z najniższą ceną przewyższa kwotę, którą zamawiający zamierza przeznaczyć na sfinansowanie zamówienia, chyba, że zamawiający może zwiększyć tę kwotę do ceny lub kosztu najkorzystniejszej oferty.</w:t>
      </w:r>
    </w:p>
    <w:p>
      <w:pPr>
        <w:pStyle w:val="Normal"/>
        <w:spacing w:lineRule="auto" w:line="259" w:before="0" w:after="131"/>
        <w:ind w:left="10" w:right="26" w:hanging="10"/>
        <w:jc w:val="center"/>
        <w:rPr/>
      </w:pPr>
      <w:r>
        <w:rPr>
          <w:b/>
        </w:rPr>
        <w:t>Uzasadnienie faktyczne</w:t>
      </w:r>
    </w:p>
    <w:p>
      <w:pPr>
        <w:pStyle w:val="Normal"/>
        <w:ind w:left="-5" w:hanging="10"/>
        <w:rPr/>
      </w:pPr>
      <w:r>
        <w:rPr/>
        <w:t xml:space="preserve">W przedmiotowym postępowaniu w wymaganym terminie złożono oferty od następujących wykonawców: </w:t>
      </w:r>
    </w:p>
    <w:p>
      <w:pPr>
        <w:pStyle w:val="Normal"/>
        <w:ind w:left="318" w:hanging="318"/>
        <w:rPr/>
      </w:pPr>
      <w:r>
        <w:rPr/>
      </w:r>
    </w:p>
    <w:tbl>
      <w:tblPr>
        <w:tblW w:w="9552" w:type="dxa"/>
        <w:jc w:val="left"/>
        <w:tblInd w:w="713" w:type="dxa"/>
        <w:tblCellMar>
          <w:top w:w="12" w:type="dxa"/>
          <w:left w:w="110" w:type="dxa"/>
          <w:bottom w:w="0" w:type="dxa"/>
          <w:right w:w="53" w:type="dxa"/>
        </w:tblCellMar>
      </w:tblPr>
      <w:tblGrid>
        <w:gridCol w:w="574"/>
        <w:gridCol w:w="2828"/>
        <w:gridCol w:w="2050"/>
        <w:gridCol w:w="2050"/>
        <w:gridCol w:w="2050"/>
      </w:tblGrid>
      <w:tr>
        <w:trPr>
          <w:trHeight w:val="355" w:hRule="atLeast"/>
        </w:trPr>
        <w:tc>
          <w:tcPr>
            <w:tcW w:w="5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0" w:hanging="0"/>
              <w:rPr/>
            </w:pPr>
            <w:r>
              <w:rPr>
                <w:rFonts w:eastAsia="Arial" w:cs="Arial" w:ascii="Arial" w:hAnsi="Arial"/>
                <w:b/>
                <w:sz w:val="20"/>
              </w:rPr>
              <w:t xml:space="preserve">L.p. </w:t>
            </w:r>
          </w:p>
        </w:tc>
        <w:tc>
          <w:tcPr>
            <w:tcW w:w="28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41" w:right="0" w:hanging="0"/>
              <w:rPr/>
            </w:pPr>
            <w:r>
              <w:rPr>
                <w:rFonts w:eastAsia="Arial" w:cs="Arial" w:ascii="Arial" w:hAnsi="Arial"/>
                <w:b/>
                <w:sz w:val="20"/>
              </w:rPr>
              <w:t xml:space="preserve">Nazwa i adres Wykonawcy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60" w:hanging="0"/>
              <w:jc w:val="center"/>
              <w:rPr/>
            </w:pPr>
            <w:r>
              <w:rPr>
                <w:rFonts w:eastAsia="Arial" w:cs="Arial" w:ascii="Arial" w:hAnsi="Arial"/>
                <w:b/>
                <w:sz w:val="20"/>
              </w:rPr>
              <w:t xml:space="preserve">Kwota brutto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64" w:hanging="0"/>
              <w:jc w:val="center"/>
              <w:rPr/>
            </w:pPr>
            <w:r>
              <w:rPr>
                <w:rFonts w:eastAsia="Arial" w:cs="Arial" w:ascii="Arial" w:hAnsi="Arial"/>
                <w:b/>
                <w:sz w:val="20"/>
              </w:rPr>
              <w:t xml:space="preserve">Termin realizacji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53" w:right="0" w:hanging="0"/>
              <w:rPr/>
            </w:pPr>
            <w:r>
              <w:rPr>
                <w:rFonts w:eastAsia="Arial" w:cs="Arial" w:ascii="Arial" w:hAnsi="Arial"/>
                <w:b/>
                <w:sz w:val="20"/>
              </w:rPr>
              <w:t xml:space="preserve">Warunki płatności </w:t>
            </w:r>
          </w:p>
        </w:tc>
      </w:tr>
      <w:tr>
        <w:trPr>
          <w:trHeight w:val="1114" w:hRule="atLeast"/>
        </w:trPr>
        <w:tc>
          <w:tcPr>
            <w:tcW w:w="5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56" w:hanging="0"/>
              <w:jc w:val="center"/>
              <w:rPr/>
            </w:pPr>
            <w:r>
              <w:rPr>
                <w:rFonts w:eastAsia="Arial" w:cs="Arial" w:ascii="Arial" w:hAnsi="Arial"/>
                <w:sz w:val="24"/>
              </w:rPr>
              <w:t xml:space="preserve">1 </w:t>
            </w:r>
          </w:p>
        </w:tc>
        <w:tc>
          <w:tcPr>
            <w:tcW w:w="28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98"/>
              <w:ind w:left="0" w:right="62" w:hanging="0"/>
              <w:jc w:val="center"/>
              <w:rPr/>
            </w:pPr>
            <w:r>
              <w:rPr>
                <w:rFonts w:eastAsia="Arial" w:cs="Arial" w:ascii="Arial" w:hAnsi="Arial"/>
                <w:sz w:val="20"/>
              </w:rPr>
              <w:t xml:space="preserve">P.I.B. HESBUD </w:t>
            </w:r>
          </w:p>
          <w:p>
            <w:pPr>
              <w:pStyle w:val="Normal"/>
              <w:tabs>
                <w:tab w:val="clear" w:pos="708"/>
              </w:tabs>
              <w:bidi w:val="0"/>
              <w:spacing w:before="0" w:after="134"/>
              <w:ind w:left="0" w:right="64" w:hanging="0"/>
              <w:jc w:val="center"/>
              <w:rPr/>
            </w:pPr>
            <w:r>
              <w:rPr>
                <w:rFonts w:eastAsia="Arial" w:cs="Arial" w:ascii="Arial" w:hAnsi="Arial"/>
                <w:sz w:val="20"/>
              </w:rPr>
              <w:t xml:space="preserve">95-083 Bechcice Kolonia 8 </w:t>
            </w:r>
          </w:p>
          <w:p>
            <w:pPr>
              <w:pStyle w:val="Normal"/>
              <w:tabs>
                <w:tab w:val="clear" w:pos="708"/>
              </w:tabs>
              <w:bidi w:val="0"/>
              <w:spacing w:before="0" w:after="0"/>
              <w:ind w:left="8" w:right="0" w:hanging="0"/>
              <w:jc w:val="center"/>
              <w:rPr/>
            </w:pPr>
            <w:r>
              <w:rPr>
                <w:rFonts w:eastAsia="Arial" w:cs="Arial" w:ascii="Arial" w:hAnsi="Arial"/>
                <w:sz w:val="24"/>
              </w:rPr>
              <w:t xml:space="preserve">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129"/>
              <w:ind w:left="9" w:right="0" w:hanging="0"/>
              <w:jc w:val="center"/>
              <w:rPr/>
            </w:pPr>
            <w:r>
              <w:rPr>
                <w:rFonts w:eastAsia="Arial" w:cs="Arial" w:ascii="Arial" w:hAnsi="Arial"/>
                <w:b/>
                <w:sz w:val="24"/>
              </w:rPr>
              <w:t xml:space="preserve"> </w:t>
            </w:r>
          </w:p>
          <w:p>
            <w:pPr>
              <w:pStyle w:val="Normal"/>
              <w:tabs>
                <w:tab w:val="clear" w:pos="708"/>
              </w:tabs>
              <w:bidi w:val="0"/>
              <w:spacing w:before="0" w:after="0"/>
              <w:ind w:left="0" w:right="57" w:hanging="0"/>
              <w:jc w:val="center"/>
              <w:rPr/>
            </w:pPr>
            <w:r>
              <w:rPr>
                <w:rFonts w:eastAsia="Arial" w:cs="Arial" w:ascii="Arial" w:hAnsi="Arial"/>
                <w:b/>
                <w:sz w:val="24"/>
              </w:rPr>
              <w:t xml:space="preserve">920 064,38 zł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0" w:hanging="0"/>
              <w:jc w:val="center"/>
              <w:rPr/>
            </w:pPr>
            <w:r>
              <w:rPr>
                <w:rFonts w:eastAsia="Arial" w:cs="Arial" w:ascii="Arial" w:hAnsi="Arial"/>
                <w:sz w:val="24"/>
              </w:rPr>
              <w:t xml:space="preserve">Zgodnie z zapisami SWZ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0" w:hanging="0"/>
              <w:jc w:val="center"/>
              <w:rPr/>
            </w:pPr>
            <w:r>
              <w:rPr>
                <w:rFonts w:eastAsia="Arial" w:cs="Arial" w:ascii="Arial" w:hAnsi="Arial"/>
                <w:sz w:val="24"/>
              </w:rPr>
              <w:t xml:space="preserve">Zgodnie z zapisami SWZ </w:t>
            </w:r>
          </w:p>
        </w:tc>
      </w:tr>
      <w:tr>
        <w:trPr>
          <w:trHeight w:val="1736" w:hRule="atLeast"/>
        </w:trPr>
        <w:tc>
          <w:tcPr>
            <w:tcW w:w="5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56" w:hanging="0"/>
              <w:jc w:val="center"/>
              <w:rPr/>
            </w:pPr>
            <w:r>
              <w:rPr>
                <w:rFonts w:eastAsia="Arial" w:cs="Arial" w:ascii="Arial" w:hAnsi="Arial"/>
                <w:sz w:val="24"/>
              </w:rPr>
              <w:t xml:space="preserve">2 </w:t>
            </w:r>
          </w:p>
        </w:tc>
        <w:tc>
          <w:tcPr>
            <w:tcW w:w="28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101"/>
              <w:ind w:left="0" w:right="61" w:hanging="0"/>
              <w:jc w:val="center"/>
              <w:rPr/>
            </w:pPr>
            <w:r>
              <w:rPr>
                <w:rFonts w:eastAsia="Arial" w:cs="Arial" w:ascii="Arial" w:hAnsi="Arial"/>
                <w:sz w:val="20"/>
              </w:rPr>
              <w:t>Zakład Budowlano-</w:t>
            </w:r>
          </w:p>
          <w:p>
            <w:pPr>
              <w:pStyle w:val="Normal"/>
              <w:tabs>
                <w:tab w:val="clear" w:pos="708"/>
              </w:tabs>
              <w:bidi w:val="0"/>
              <w:spacing w:before="0" w:after="123"/>
              <w:ind w:left="0" w:right="61" w:hanging="0"/>
              <w:jc w:val="center"/>
              <w:rPr/>
            </w:pPr>
            <w:r>
              <w:rPr>
                <w:rFonts w:eastAsia="Arial" w:cs="Arial" w:ascii="Arial" w:hAnsi="Arial"/>
                <w:sz w:val="20"/>
              </w:rPr>
              <w:t xml:space="preserve">Instalacyjny „OL-BUD” </w:t>
            </w:r>
          </w:p>
          <w:p>
            <w:pPr>
              <w:pStyle w:val="Normal"/>
              <w:tabs>
                <w:tab w:val="clear" w:pos="708"/>
              </w:tabs>
              <w:bidi w:val="0"/>
              <w:spacing w:before="0" w:after="97"/>
              <w:ind w:left="0" w:right="60" w:hanging="0"/>
              <w:jc w:val="center"/>
              <w:rPr/>
            </w:pPr>
            <w:r>
              <w:rPr>
                <w:rFonts w:eastAsia="Arial" w:cs="Arial" w:ascii="Arial" w:hAnsi="Arial"/>
                <w:sz w:val="20"/>
              </w:rPr>
              <w:t xml:space="preserve">Ul. Batalionów Chłopskich </w:t>
            </w:r>
          </w:p>
          <w:p>
            <w:pPr>
              <w:pStyle w:val="Normal"/>
              <w:tabs>
                <w:tab w:val="clear" w:pos="708"/>
              </w:tabs>
              <w:bidi w:val="0"/>
              <w:spacing w:before="0" w:after="158"/>
              <w:ind w:left="0" w:right="63" w:hanging="0"/>
              <w:jc w:val="center"/>
              <w:rPr/>
            </w:pPr>
            <w:r>
              <w:rPr>
                <w:rFonts w:eastAsia="Arial" w:cs="Arial" w:ascii="Arial" w:hAnsi="Arial"/>
                <w:sz w:val="20"/>
              </w:rPr>
              <w:t xml:space="preserve">3/164 </w:t>
            </w:r>
          </w:p>
          <w:p>
            <w:pPr>
              <w:pStyle w:val="Normal"/>
              <w:tabs>
                <w:tab w:val="clear" w:pos="708"/>
              </w:tabs>
              <w:bidi w:val="0"/>
              <w:spacing w:before="0" w:after="0"/>
              <w:ind w:left="0" w:right="61" w:hanging="0"/>
              <w:jc w:val="center"/>
              <w:rPr/>
            </w:pPr>
            <w:r>
              <w:rPr>
                <w:rFonts w:eastAsia="Arial" w:cs="Arial" w:ascii="Arial" w:hAnsi="Arial"/>
                <w:sz w:val="20"/>
              </w:rPr>
              <w:t>94-058 Łódź</w:t>
            </w:r>
            <w:r>
              <w:rPr>
                <w:rFonts w:eastAsia="Arial" w:cs="Arial" w:ascii="Arial" w:hAnsi="Arial"/>
                <w:sz w:val="24"/>
              </w:rPr>
              <w:t xml:space="preserve">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132"/>
              <w:ind w:left="9" w:right="0" w:hanging="0"/>
              <w:jc w:val="center"/>
              <w:rPr/>
            </w:pPr>
            <w:r>
              <w:rPr>
                <w:rFonts w:eastAsia="Arial" w:cs="Arial" w:ascii="Arial" w:hAnsi="Arial"/>
                <w:b/>
                <w:sz w:val="24"/>
              </w:rPr>
              <w:t xml:space="preserve"> </w:t>
            </w:r>
          </w:p>
          <w:p>
            <w:pPr>
              <w:pStyle w:val="Normal"/>
              <w:tabs>
                <w:tab w:val="clear" w:pos="708"/>
              </w:tabs>
              <w:bidi w:val="0"/>
              <w:spacing w:before="0" w:after="0"/>
              <w:ind w:left="0" w:right="57" w:hanging="0"/>
              <w:jc w:val="center"/>
              <w:rPr/>
            </w:pPr>
            <w:r>
              <w:rPr>
                <w:rFonts w:eastAsia="Arial" w:cs="Arial" w:ascii="Arial" w:hAnsi="Arial"/>
                <w:b/>
                <w:sz w:val="24"/>
              </w:rPr>
              <w:t xml:space="preserve">898 094,71 zł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0" w:hanging="0"/>
              <w:jc w:val="center"/>
              <w:rPr/>
            </w:pPr>
            <w:r>
              <w:rPr>
                <w:rFonts w:eastAsia="Arial" w:cs="Arial" w:ascii="Arial" w:hAnsi="Arial"/>
                <w:sz w:val="24"/>
              </w:rPr>
              <w:t xml:space="preserve">Zgodnie z zapisami SWZ </w:t>
            </w:r>
          </w:p>
        </w:tc>
        <w:tc>
          <w:tcPr>
            <w:tcW w:w="20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0" w:after="0"/>
              <w:ind w:left="0" w:right="0" w:hanging="0"/>
              <w:jc w:val="center"/>
              <w:rPr/>
            </w:pPr>
            <w:r>
              <w:rPr>
                <w:rFonts w:eastAsia="Arial" w:cs="Arial" w:ascii="Arial" w:hAnsi="Arial"/>
                <w:sz w:val="24"/>
              </w:rPr>
              <w:t xml:space="preserve">Zgodnie z zapisami SWZ </w:t>
            </w:r>
          </w:p>
        </w:tc>
      </w:tr>
    </w:tbl>
    <w:p>
      <w:pPr>
        <w:pStyle w:val="Normal"/>
        <w:spacing w:before="0" w:after="0"/>
        <w:rPr/>
      </w:pPr>
      <w:r>
        <w:rPr/>
      </w:r>
    </w:p>
    <w:p>
      <w:pPr>
        <w:pStyle w:val="Normal"/>
        <w:ind w:left="-5" w:hanging="10"/>
        <w:rPr/>
      </w:pPr>
      <w:r>
        <w:rPr/>
        <w:t>Stosownie do art. 255 pkt 3 ustawy Pzp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 Celem takiego uregulowania jest ochrona zamawiającego przed roszczeniem o zawarcie umowy w przypadku braku środków finansowych. Co do zasady przesłankę unieważnienia postępowania na podstawie art. 255 pkt 3 ustawy Pzp odnieść należy do kwoty, jaką zamawiający zamierza przeznaczyć na sfinansowanie zamówienia, udostępnionej na stronie internetowej prowadzonego postępowania bezpośrednio przed otwarciem ofert.</w:t>
      </w:r>
    </w:p>
    <w:p>
      <w:pPr>
        <w:pStyle w:val="Normal"/>
        <w:ind w:left="-5" w:hanging="10"/>
        <w:rPr/>
      </w:pPr>
      <w:r>
        <w:rPr/>
        <w:t>Zamawiający udostępnił przed otwarciem ofert informację, że na sfinansowanie zamówienia zamierza przeznaczyć kwotę</w:t>
      </w:r>
      <w:r>
        <w:rPr>
          <w:b/>
        </w:rPr>
        <w:t xml:space="preserve">:  </w:t>
      </w:r>
      <w:r>
        <w:rPr>
          <w:rFonts w:eastAsia="Arial" w:cs="Arial" w:ascii="Arial" w:hAnsi="Arial"/>
          <w:b/>
          <w:bCs/>
          <w:sz w:val="24"/>
        </w:rPr>
        <w:t xml:space="preserve"> </w:t>
      </w:r>
      <w:r>
        <w:rPr>
          <w:b/>
          <w:bCs/>
          <w:color w:val="4A4A4A"/>
        </w:rPr>
        <w:t>541 200,00</w:t>
      </w:r>
      <w:r>
        <w:rPr>
          <w:color w:val="4A4A4A"/>
        </w:rPr>
        <w:t xml:space="preserve"> </w:t>
      </w:r>
      <w:r>
        <w:rPr>
          <w:b/>
        </w:rPr>
        <w:t>zł brutto.</w:t>
      </w:r>
    </w:p>
    <w:p>
      <w:pPr>
        <w:pStyle w:val="Normal"/>
        <w:ind w:left="-5" w:hanging="10"/>
        <w:rPr/>
      </w:pPr>
      <w:r>
        <w:rPr/>
        <w:t>Decyzja o zwiększeniu tej kwoty jest oparta na swobodnym uznaniu zamawiającego. Wyrażenie „może zwiększyć tę kwotę do ceny lub kosztu najkorzystniejszej oferty” należy interpretować jako uprawnienie zamawiającego i to do jego decyzji należy kwestia możliwości zwiększenia środków finansowych na dany cel. Zatem zamawiający nie ma obowiązku poszukiwania dodatkowych środków finansowych na sfinansowanie zamówienia ponad kwotę, którą zamierza przeznaczyć na sfinansowanie zamówienia (komentarz do Prawa Zamówień Publicznych Urzędu Zamówień Publicznych).</w:t>
      </w:r>
    </w:p>
    <w:p>
      <w:pPr>
        <w:pStyle w:val="Normal"/>
        <w:spacing w:before="0" w:after="0"/>
        <w:ind w:left="0" w:right="0" w:hanging="0"/>
        <w:rPr/>
      </w:pPr>
      <w:r>
        <w:rPr/>
        <w:t xml:space="preserve">W przypadku gdy oferta z najniższą ceną przewyższa kwotę, jaką zamawiający zamierza przeznaczyć na sfinansowanie zamówienia, postępowanie unieważnia się bez przeprowadzania wyboru najkorzystniejszej oferty. W takiej sytuacji ceny lub koszty określone we wszystkich złożonych ofertach nie mieszczą się w limicie ustalonym przez zamawiającego. Hołdując </w:t>
      </w:r>
    </w:p>
    <w:p>
      <w:pPr>
        <w:pStyle w:val="Normal"/>
        <w:spacing w:before="0" w:after="0"/>
        <w:ind w:left="0" w:right="0" w:hanging="0"/>
        <w:rPr/>
      </w:pPr>
      <w:r>
        <w:rPr/>
        <w:t xml:space="preserve">racjonalności, przesłanka ta zakłada unieważnienie postępowania bez konieczności badania i oceny ofert w celu wyboru oferty najkorzystniejszej, w sytuacji gdy od początku wiadomo, że cena żadnej oferty nie zmieści się w ustalonym limicie, a zamawiający tego limitu nie zmieni. </w:t>
      </w:r>
    </w:p>
    <w:p>
      <w:pPr>
        <w:pStyle w:val="Normal"/>
        <w:spacing w:before="0" w:after="0"/>
        <w:ind w:left="0" w:right="0" w:hanging="0"/>
        <w:rPr/>
      </w:pPr>
      <w:r>
        <w:rPr/>
        <w:t>Sformułowanie przepisu („zamawiający unieważnia”) prowadzi do wniosku, że ustawowy przymus unieważnienia postępowania zachodzi od razu, gdy tylko okaże się, że zachodzi jedna z dwóch alternatywnych przesłanek, a zamawiający nie może lub nie chce zwiększyć kwoty pokrycia finansowego.</w:t>
      </w:r>
    </w:p>
    <w:p>
      <w:pPr>
        <w:pStyle w:val="Normal"/>
        <w:ind w:left="-5" w:hanging="10"/>
        <w:rPr/>
      </w:pPr>
      <w:r>
        <w:rPr/>
      </w:r>
    </w:p>
    <w:p>
      <w:pPr>
        <w:pStyle w:val="Normal"/>
        <w:spacing w:lineRule="auto" w:line="273" w:before="0" w:after="112"/>
        <w:ind w:left="0" w:right="272" w:hanging="0"/>
        <w:jc w:val="both"/>
        <w:rPr/>
      </w:pPr>
      <w:r>
        <w:rPr/>
        <w:t>Zamawiający podejmując decyzję o braku możliwości zwiększenia kwoty, którą zamawiający zamierza przeznaczyć na sfinansowanie zamówienia do ceny najkorzystniejszej oferty</w:t>
      </w:r>
      <w:r>
        <w:rPr>
          <w:b/>
          <w:i/>
        </w:rPr>
        <w:t xml:space="preserve"> </w:t>
      </w:r>
      <w:r>
        <w:rPr/>
        <w:t xml:space="preserve">brał pod uwagę celowość i </w:t>
      </w:r>
      <w:r>
        <w:rPr>
          <w:color w:val="333333"/>
        </w:rPr>
        <w:t>efektywność gospodarowania środkami publicznymi.</w:t>
      </w:r>
    </w:p>
    <w:p>
      <w:pPr>
        <w:pStyle w:val="Normal"/>
        <w:ind w:left="-5" w:hanging="10"/>
        <w:rPr/>
      </w:pPr>
      <w:r>
        <w:rPr/>
        <w:t xml:space="preserve">Przepis art. 255 pkt 3 ustawy Pzp nie nakazuje zamawiającemu dokonywać prób zwiększenia kwoty, którą mógłby przeznaczyć na sfinansowanie zamówienia. Wprost przeciwnie koniec tego przepisu w wyrażeniu „chyba że zamawiający może zwiększyć tę kwotę do ceny najkorzystniejszej oferty”, mówi o wyjątku, którego nie można interpretować rozszerzająco, aż do ustanawiania reguły, że w każdym przypadku zamawiający powinien podejmować próbę zwiększenia kwoty, którą zamawiający zamierza przeznaczyć na sfinansowanie zamówienia.. </w:t>
      </w:r>
    </w:p>
    <w:p>
      <w:pPr>
        <w:pStyle w:val="Normal"/>
        <w:ind w:left="-5" w:hanging="10"/>
        <w:rPr/>
      </w:pPr>
      <w:r>
        <w:rPr/>
        <w:t>Jak czytamy w wyroku z dnia 12 listopada 2015 r. Krajowej Izby Odwoławczej (Sygn. Akt KIO 2347/15): „Przepis w obecnym brzmieniu zwalnia zamawiającego z obowiązku dokonywania wyboru najkorzystniejszej oferty w sytuacji, gdy zawarcie umowy w sprawie zamówienia publicznego jest niemożliwe z powodu braku środków na jej sfinansowanie.”</w:t>
      </w:r>
    </w:p>
    <w:p>
      <w:pPr>
        <w:pStyle w:val="Normal"/>
        <w:ind w:left="-5" w:hanging="10"/>
        <w:rPr/>
      </w:pPr>
      <w:r>
        <w:rPr/>
        <w:t>Zgodnie z orzecznictwem KIO, nie ma obowiązku zwiększania kwoty przeznaczonej na sfinansowanie konkretnego zadania, tak aby obowiązkowo dokonać wyboru. Możliwość zwiększenia budżetu warunkowana jest z pewnością wieloma czynnikami, a wykonawca nie ma prawnych możliwości domagać się zwiększenia budżetu, ponieważ takie zachowanie w pewnych przypadkach mogłoby narazić zamawiającego na zarzuty niegospodarnego zarządzania środkami publicznymi (wyrok KIO z dnia 24 maja 2012 r. sygn. Akt KIO 964/12).</w:t>
      </w:r>
    </w:p>
    <w:p>
      <w:pPr>
        <w:pStyle w:val="Normal"/>
        <w:ind w:left="-5" w:hanging="10"/>
        <w:rPr/>
      </w:pPr>
      <w:r>
        <w:rPr/>
        <w:t>Ponadto Zamawiający podejmując decyzję o braku możliwości zwiększenia kwoty, którą zamawiający zamierza przeznaczyć na sfinansowanie zamówienia do ceny najkorzystniejszej oferty</w:t>
      </w:r>
      <w:r>
        <w:rPr>
          <w:b/>
          <w:i/>
        </w:rPr>
        <w:t xml:space="preserve"> </w:t>
      </w:r>
      <w:r>
        <w:rPr/>
        <w:t xml:space="preserve">brał pod uwagę celowość i  </w:t>
      </w:r>
      <w:r>
        <w:rPr>
          <w:color w:val="333333"/>
        </w:rPr>
        <w:t>efektywność gospodarowania środkami publicznymi. Z</w:t>
      </w:r>
      <w:r>
        <w:rPr/>
        <w:t>godnie z art. 44 ust. 3 pkt 1 ustawy z dnia 27 sierpnia 2009 r. o finansach publicznych, wydatki publiczne powinny być dokonywane w sposób celowy i oszczędny.</w:t>
      </w:r>
    </w:p>
    <w:p>
      <w:pPr>
        <w:pStyle w:val="Normal"/>
        <w:spacing w:before="0" w:after="121"/>
        <w:ind w:left="-5" w:hanging="10"/>
        <w:rPr/>
      </w:pPr>
      <w:r>
        <w:rPr/>
        <w:t>W ocenie Krajowej Izby Odwoławczej (wyrok z dn. 22.01.2019 r. sygn. KIO 2608/18) to Zamawiający ma prawo a wręcz obowiązek podejmowania decyzji w zakresie, czy zwiększenie środków przeznaczonych na realizację zamówienia jest uzasadnione pod względem celowości i efektywności gospodarowania środkami publicznymi. Decyzję zamawiający podejmuje w określonych warunkach zaistniałych w konkretnym postępowaniu o udzielenie zamówienia i w granicach możliwości finansowania zadania.</w:t>
      </w:r>
    </w:p>
    <w:p>
      <w:pPr>
        <w:pStyle w:val="Normal"/>
        <w:ind w:left="-5" w:hanging="10"/>
        <w:rPr/>
      </w:pPr>
      <w:r>
        <w:rPr/>
        <w:t xml:space="preserve">W świetle powyższego nie powinno budzić wątpliwości unieważnienie postępowania bez wyboru </w:t>
      </w:r>
    </w:p>
    <w:p>
      <w:pPr>
        <w:pStyle w:val="Normal"/>
        <w:spacing w:before="0" w:after="343"/>
        <w:ind w:left="-5" w:hanging="10"/>
        <w:rPr/>
      </w:pPr>
      <w:r>
        <w:rPr/>
        <w:t>najkorzystniejszej oferty, w sytuacji gdy cena wszystkich ofert przewyższa kwotę, którą zamawiający zamierza przeznaczyć na sfinansowanie zamówienia.</w:t>
      </w:r>
    </w:p>
    <w:p>
      <w:pPr>
        <w:pStyle w:val="Normal"/>
        <w:spacing w:lineRule="auto" w:line="259" w:before="0" w:after="168"/>
        <w:ind w:right="-15" w:hanging="0"/>
        <w:jc w:val="right"/>
        <w:rPr>
          <w:rFonts w:ascii="Arial" w:hAnsi="Arial" w:cs="Arial"/>
        </w:rPr>
      </w:pPr>
      <w:r>
        <w:rPr/>
      </w:r>
    </w:p>
    <w:p>
      <w:pPr>
        <w:pStyle w:val="Normal"/>
        <w:ind w:left="5040" w:hanging="0"/>
        <w:jc w:val="center"/>
        <w:rPr>
          <w:rFonts w:ascii="Arial" w:hAnsi="Arial" w:cs="Arial"/>
          <w:b/>
          <w:b/>
          <w:bCs/>
        </w:rPr>
      </w:pPr>
      <w:r>
        <w:rPr>
          <w:rFonts w:cs="Arial" w:ascii="Arial" w:hAnsi="Arial"/>
          <w:b/>
          <w:bCs/>
        </w:rPr>
      </w:r>
    </w:p>
    <w:p>
      <w:pPr>
        <w:pStyle w:val="Normal"/>
        <w:ind w:left="5040" w:hanging="0"/>
        <w:jc w:val="center"/>
        <w:rPr>
          <w:rFonts w:ascii="Arial" w:hAnsi="Arial" w:cs="Arial"/>
          <w:b/>
          <w:b/>
          <w:bCs/>
        </w:rPr>
      </w:pPr>
      <w:r>
        <w:rPr>
          <w:rFonts w:cs="Arial" w:ascii="Arial" w:hAnsi="Arial"/>
          <w:b/>
          <w:bCs/>
        </w:rPr>
        <w:t>Dyrektor</w:t>
      </w:r>
    </w:p>
    <w:p>
      <w:pPr>
        <w:pStyle w:val="Normal"/>
        <w:ind w:left="5040" w:hanging="0"/>
        <w:jc w:val="center"/>
        <w:rPr>
          <w:rFonts w:ascii="Arial" w:hAnsi="Arial" w:cs="Arial"/>
          <w:b/>
          <w:b/>
          <w:bCs/>
        </w:rPr>
      </w:pPr>
      <w:r>
        <w:rPr>
          <w:rFonts w:cs="Arial" w:ascii="Arial" w:hAnsi="Arial"/>
          <w:b/>
          <w:bCs/>
        </w:rPr>
        <w:t>Miejskiego Centrum Medycznego „Polesie”</w:t>
      </w:r>
    </w:p>
    <w:p>
      <w:pPr>
        <w:pStyle w:val="Normal"/>
        <w:ind w:left="5040" w:hanging="0"/>
        <w:jc w:val="center"/>
        <w:rPr>
          <w:rFonts w:ascii="Arial" w:hAnsi="Arial" w:cs="Arial"/>
          <w:b/>
          <w:b/>
          <w:bCs/>
        </w:rPr>
      </w:pPr>
      <w:r>
        <w:rPr>
          <w:rFonts w:cs="Arial" w:ascii="Arial" w:hAnsi="Arial"/>
          <w:b/>
          <w:bCs/>
        </w:rPr>
        <w:t>w Łodzi</w:t>
      </w:r>
    </w:p>
    <w:p>
      <w:pPr>
        <w:pStyle w:val="Normal"/>
        <w:ind w:left="5040" w:hanging="0"/>
        <w:jc w:val="center"/>
        <w:rPr>
          <w:rFonts w:ascii="Arial" w:hAnsi="Arial" w:cs="Arial"/>
          <w:b/>
          <w:b/>
          <w:bCs/>
        </w:rPr>
      </w:pPr>
      <w:r>
        <w:rPr>
          <w:rFonts w:cs="Arial" w:ascii="Arial" w:hAnsi="Arial"/>
          <w:b/>
          <w:bCs/>
        </w:rPr>
        <w:t>Marcin Kos</w:t>
      </w:r>
    </w:p>
    <w:p>
      <w:pPr>
        <w:pStyle w:val="Normal"/>
        <w:ind w:left="5040" w:hanging="0"/>
        <w:jc w:val="center"/>
        <w:rPr/>
      </w:pPr>
      <w:r>
        <w:rPr>
          <w:rFonts w:cs="Arial" w:ascii="Arial" w:hAnsi="Arial"/>
          <w:sz w:val="18"/>
          <w:szCs w:val="18"/>
        </w:rPr>
        <w:t>/-/</w:t>
      </w:r>
    </w:p>
    <w:sectPr>
      <w:headerReference w:type="default" r:id="rId2"/>
      <w:footerReference w:type="default" r:id="rId3"/>
      <w:type w:val="nextPage"/>
      <w:pgSz w:w="11906" w:h="16850"/>
      <w:pgMar w:left="1134" w:right="1080" w:header="426" w:top="1013" w:footer="226" w:bottom="14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drawing>
        <wp:inline distT="0" distB="0" distL="0" distR="0">
          <wp:extent cx="6922135" cy="1356360"/>
          <wp:effectExtent l="0" t="0" r="0" b="0"/>
          <wp:docPr id="2" name="Obraz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descr=""/>
                  <pic:cNvPicPr>
                    <a:picLocks noChangeAspect="1" noChangeArrowheads="1"/>
                  </pic:cNvPicPr>
                </pic:nvPicPr>
                <pic:blipFill>
                  <a:blip r:embed="rId1"/>
                  <a:stretch>
                    <a:fillRect/>
                  </a:stretch>
                </pic:blipFill>
                <pic:spPr bwMode="auto">
                  <a:xfrm>
                    <a:off x="0" y="0"/>
                    <a:ext cx="6922135" cy="135636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 xml:space="preserve">      </w:t>
    </w:r>
    <w:r>
      <w:rPr/>
      <w:drawing>
        <wp:inline distT="0" distB="0" distL="0" distR="0">
          <wp:extent cx="2933065" cy="125349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933065" cy="1253490"/>
                  </a:xfrm>
                  <a:prstGeom prst="rect">
                    <a:avLst/>
                  </a:prstGeom>
                </pic:spPr>
              </pic:pic>
            </a:graphicData>
          </a:graphic>
        </wp:inline>
      </w:drawing>
    </w:r>
  </w:p>
  <w:p>
    <w:pPr>
      <w:pStyle w:val="Gwka"/>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Tahoma" w:hAnsi="Tahoma" w:eastAsia="Tahoma" w:cs="Tahoma"/>
      <w:color w:val="auto"/>
      <w:kern w:val="0"/>
      <w:sz w:val="22"/>
      <w:szCs w:val="22"/>
      <w:lang w:val="pl-PL" w:eastAsia="en-US" w:bidi="ar-SA"/>
    </w:rPr>
  </w:style>
  <w:style w:type="paragraph" w:styleId="Nagwek1">
    <w:name w:val="Heading 1"/>
    <w:next w:val="Normal"/>
    <w:qFormat/>
    <w:pPr>
      <w:keepNext w:val="true"/>
      <w:keepLines/>
      <w:widowControl/>
      <w:bidi w:val="0"/>
      <w:spacing w:lineRule="auto" w:line="259" w:before="0" w:after="97"/>
      <w:jc w:val="left"/>
      <w:outlineLvl w:val="0"/>
    </w:pPr>
    <w:rPr>
      <w:rFonts w:ascii="Arial" w:hAnsi="Arial" w:eastAsia="Arial" w:cs="Arial"/>
      <w:b/>
      <w:color w:val="000000"/>
      <w:kern w:val="0"/>
      <w:sz w:val="26"/>
      <w:szCs w:val="22"/>
      <w:lang w:val="en-US"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06a60"/>
    <w:rPr>
      <w:rFonts w:ascii="Tahoma" w:hAnsi="Tahoma" w:eastAsia="Tahoma" w:cs="Tahoma"/>
      <w:lang w:val="pl-PL"/>
    </w:rPr>
  </w:style>
  <w:style w:type="character" w:styleId="StopkaZnak" w:customStyle="1">
    <w:name w:val="Stopka Znak"/>
    <w:basedOn w:val="DefaultParagraphFont"/>
    <w:link w:val="Stopka"/>
    <w:uiPriority w:val="99"/>
    <w:qFormat/>
    <w:rsid w:val="00006a60"/>
    <w:rPr>
      <w:rFonts w:ascii="Tahoma" w:hAnsi="Tahoma" w:eastAsia="Tahoma" w:cs="Tahoma"/>
      <w:lang w:val="pl-PL"/>
    </w:rPr>
  </w:style>
  <w:style w:type="character" w:styleId="ListLabel1">
    <w:name w:val="ListLabel 1"/>
    <w:qFormat/>
    <w:rPr>
      <w:rFonts w:eastAsia="Arial" w:cs="Arial"/>
      <w:b w:val="false"/>
      <w:i w:val="false"/>
      <w:strike w:val="false"/>
      <w:dstrike w:val="false"/>
      <w:color w:val="000000"/>
      <w:position w:val="0"/>
      <w:sz w:val="22"/>
      <w:sz w:val="22"/>
      <w:szCs w:val="22"/>
      <w:u w:val="none" w:color="000000"/>
      <w:vertAlign w:val="baseline"/>
    </w:rPr>
  </w:style>
  <w:style w:type="character" w:styleId="ListLabel2">
    <w:name w:val="ListLabel 2"/>
    <w:qFormat/>
    <w:rPr>
      <w:rFonts w:eastAsia="Arial" w:cs="Arial"/>
      <w:b w:val="false"/>
      <w:i w:val="false"/>
      <w:strike w:val="false"/>
      <w:dstrike w:val="false"/>
      <w:color w:val="000000"/>
      <w:position w:val="0"/>
      <w:sz w:val="22"/>
      <w:sz w:val="22"/>
      <w:szCs w:val="22"/>
      <w:u w:val="none" w:color="000000"/>
      <w:vertAlign w:val="baseline"/>
    </w:rPr>
  </w:style>
  <w:style w:type="character" w:styleId="ListLabel3">
    <w:name w:val="ListLabel 3"/>
    <w:qFormat/>
    <w:rPr>
      <w:rFonts w:eastAsia="Arial" w:cs="Arial"/>
      <w:b w:val="false"/>
      <w:i w:val="false"/>
      <w:strike w:val="false"/>
      <w:dstrike w:val="false"/>
      <w:color w:val="000000"/>
      <w:position w:val="0"/>
      <w:sz w:val="22"/>
      <w:sz w:val="22"/>
      <w:szCs w:val="22"/>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u w:val="none" w:color="000000"/>
      <w:vertAlign w:val="baseline"/>
    </w:rPr>
  </w:style>
  <w:style w:type="character" w:styleId="ListLabel5">
    <w:name w:val="ListLabel 5"/>
    <w:qFormat/>
    <w:rPr>
      <w:rFonts w:eastAsia="Arial" w:cs="Arial"/>
      <w:b w:val="false"/>
      <w:i w:val="false"/>
      <w:strike w:val="false"/>
      <w:dstrike w:val="false"/>
      <w:color w:val="000000"/>
      <w:position w:val="0"/>
      <w:sz w:val="22"/>
      <w:sz w:val="22"/>
      <w:szCs w:val="22"/>
      <w:u w:val="none" w:color="000000"/>
      <w:vertAlign w:val="baseline"/>
    </w:rPr>
  </w:style>
  <w:style w:type="character" w:styleId="ListLabel6">
    <w:name w:val="ListLabel 6"/>
    <w:qFormat/>
    <w:rPr>
      <w:rFonts w:eastAsia="Arial" w:cs="Arial"/>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Arial" w:cs="Arial"/>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Arial" w:cs="Arial"/>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Arial" w:cs="Arial"/>
      <w:b w:val="false"/>
      <w:i w:val="false"/>
      <w:strike w:val="false"/>
      <w:dstrike w:val="false"/>
      <w:color w:val="000000"/>
      <w:position w:val="0"/>
      <w:sz w:val="22"/>
      <w:sz w:val="22"/>
      <w:szCs w:val="22"/>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1"/>
    <w:qFormat/>
    <w:pPr/>
    <w:rPr>
      <w:sz w:val="20"/>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Gwka">
    <w:name w:val="Header"/>
    <w:basedOn w:val="Normal"/>
    <w:link w:val="NagwekZnak"/>
    <w:uiPriority w:val="99"/>
    <w:unhideWhenUsed/>
    <w:rsid w:val="00006a60"/>
    <w:pPr>
      <w:tabs>
        <w:tab w:val="clear" w:pos="708"/>
        <w:tab w:val="center" w:pos="4536" w:leader="none"/>
        <w:tab w:val="right" w:pos="9072" w:leader="none"/>
      </w:tabs>
    </w:pPr>
    <w:rPr/>
  </w:style>
  <w:style w:type="paragraph" w:styleId="Stopka">
    <w:name w:val="Footer"/>
    <w:basedOn w:val="Normal"/>
    <w:link w:val="StopkaZnak"/>
    <w:uiPriority w:val="99"/>
    <w:unhideWhenUsed/>
    <w:rsid w:val="00006a60"/>
    <w:pPr>
      <w:tabs>
        <w:tab w:val="clear" w:pos="708"/>
        <w:tab w:val="center" w:pos="4536" w:leader="none"/>
        <w:tab w:val="right" w:pos="9072" w:leader="none"/>
      </w:tabs>
    </w:pPr>
    <w:rPr/>
  </w:style>
  <w:style w:type="paragraph" w:styleId="DocumentMap">
    <w:name w:val="DocumentMap"/>
    <w:qFormat/>
    <w:pPr>
      <w:widowControl/>
      <w:bidi w:val="0"/>
      <w:jc w:val="left"/>
      <w:textAlignment w:val="auto"/>
    </w:pPr>
    <w:rPr>
      <w:rFonts w:ascii="Calibri" w:hAnsi="Calibri" w:eastAsia="Calibri" w:cs="Calibri" w:asciiTheme="minorHAnsi" w:eastAsiaTheme="minorHAnsi" w:hAnsiTheme="minorHAnsi"/>
      <w:color w:val="auto"/>
      <w:kern w:val="0"/>
      <w:sz w:val="20"/>
      <w:szCs w:val="20"/>
      <w:lang w:val="pl-PL" w:eastAsia="pl-PL" w:bidi="ar-SA"/>
    </w:rPr>
  </w:style>
  <w:style w:type="paragraph" w:styleId="TableGrid">
    <w:name w:val="TableGrid"/>
    <w:qFormat/>
    <w:pPr>
      <w:widowControl/>
      <w:bidi w:val="0"/>
      <w:jc w:val="left"/>
      <w:textAlignment w:val="auto"/>
    </w:pPr>
    <w:rPr>
      <w:rFonts w:ascii="Calibri" w:hAnsi="Calibri" w:eastAsia="Times New Roman" w:cs="Calibri" w:asciiTheme="minorHAnsi" w:hAnsiTheme="minorHAnsi"/>
      <w:color w:val="auto"/>
      <w:kern w:val="2"/>
      <w:sz w:val="22"/>
      <w:szCs w:val="22"/>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LibreOffice/6.2.2.2$Windows_x86 LibreOffice_project/2b840030fec2aae0fd2658d8d4f9548af4e3518d</Application>
  <Pages>3</Pages>
  <Words>840</Words>
  <Characters>5552</Characters>
  <CharactersWithSpaces>6451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2022-10-14T13:39:00Z</dcterms:created>
  <dc:creator>Agnieszka Kowalewska</dc:creator>
  <dc:description/>
  <cp:keywords>DAFO6yYiU1Y BAE9qmlUZ3g</cp:keywords>
  <dc:language>pl-PL</dc:language>
  <cp:lastModifiedBy/>
  <cp:lastPrinted>2022-10-18T09:00:00Z</cp:lastPrinted>
  <dcterms:modified xsi:type="dcterms:W3CDTF">2023-07-06T12:02:47Z</dcterms:modified>
  <cp:revision>7</cp:revision>
  <dc:subject/>
  <dc:title>Dodaj trochę treści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2022-10-14T00:00:00Z</vt:filetime>
  </property>
  <property fmtid="{D5CDD505-2E9C-101B-9397-08002B2CF9AE}" pid="4" name="Creator">
    <vt:lpwstr>Canva</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2022-10-14T00:00:00Z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